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宋体" w:hAnsi="宋体" w:eastAsia="方正小标宋简体"/>
          <w:b/>
          <w:bCs/>
          <w:sz w:val="44"/>
          <w:szCs w:val="44"/>
        </w:rPr>
      </w:pPr>
      <w:r>
        <w:rPr>
          <w:rFonts w:hint="eastAsia" w:ascii="宋体" w:hAnsi="宋体" w:eastAsia="方正小标宋简体"/>
          <w:b/>
          <w:bCs/>
          <w:sz w:val="44"/>
          <w:szCs w:val="44"/>
          <w:lang w:val="en-US" w:eastAsia="zh-CN"/>
        </w:rPr>
        <w:t>辽宁省文化和数字产业投资</w:t>
      </w:r>
      <w:r>
        <w:rPr>
          <w:rFonts w:hint="eastAsia" w:ascii="宋体" w:hAnsi="宋体" w:eastAsia="方正小标宋简体"/>
          <w:b/>
          <w:bCs/>
          <w:sz w:val="44"/>
          <w:szCs w:val="44"/>
        </w:rPr>
        <w:t>基金</w:t>
      </w:r>
    </w:p>
    <w:p>
      <w:pPr>
        <w:spacing w:line="800" w:lineRule="exact"/>
        <w:jc w:val="center"/>
        <w:rPr>
          <w:rFonts w:ascii="宋体" w:hAnsi="宋体" w:eastAsia="方正小标宋简体"/>
          <w:b/>
          <w:bCs/>
          <w:sz w:val="44"/>
          <w:szCs w:val="44"/>
        </w:rPr>
      </w:pPr>
      <w:r>
        <w:rPr>
          <w:rFonts w:hint="eastAsia" w:ascii="宋体" w:hAnsi="宋体" w:eastAsia="方正小标宋简体"/>
          <w:b/>
          <w:bCs/>
          <w:sz w:val="44"/>
          <w:szCs w:val="44"/>
        </w:rPr>
        <w:t>设立方案</w:t>
      </w:r>
    </w:p>
    <w:p>
      <w:pPr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一、基金基本情况，包括但不限于以下内容：</w:t>
      </w:r>
    </w:p>
    <w:p>
      <w:pPr>
        <w:spacing w:line="360" w:lineRule="auto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.基金名称</w:t>
      </w:r>
    </w:p>
    <w:p>
      <w:pPr>
        <w:spacing w:line="360" w:lineRule="auto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.基金组织形式</w:t>
      </w:r>
    </w:p>
    <w:p>
      <w:pPr>
        <w:spacing w:line="360" w:lineRule="auto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.基金注册地址</w:t>
      </w:r>
    </w:p>
    <w:p>
      <w:pPr>
        <w:spacing w:line="360" w:lineRule="auto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.基金规模</w:t>
      </w:r>
    </w:p>
    <w:p>
      <w:pPr>
        <w:spacing w:line="360" w:lineRule="auto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.基金管理人</w:t>
      </w:r>
    </w:p>
    <w:p>
      <w:pPr>
        <w:spacing w:line="360" w:lineRule="auto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.项目储备情况及投资标的阶段</w:t>
      </w:r>
    </w:p>
    <w:p>
      <w:pPr>
        <w:spacing w:line="360" w:lineRule="auto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.基金投资领域及地域</w:t>
      </w:r>
    </w:p>
    <w:p>
      <w:pPr>
        <w:spacing w:line="360" w:lineRule="auto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.基金存续年限</w:t>
      </w:r>
    </w:p>
    <w:p>
      <w:pPr>
        <w:spacing w:line="360" w:lineRule="auto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.管理费和收益分配</w:t>
      </w:r>
    </w:p>
    <w:p>
      <w:pPr>
        <w:spacing w:line="360" w:lineRule="auto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.基金运作、决策机制和基金风险防范制度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二、基金管理机构基本情况，包括但不限于以下内容：</w:t>
      </w:r>
    </w:p>
    <w:p>
      <w:pPr>
        <w:spacing w:line="360" w:lineRule="auto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.团队简介和关键人士</w:t>
      </w:r>
    </w:p>
    <w:p>
      <w:pPr>
        <w:spacing w:line="360" w:lineRule="auto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.管理机构情况</w:t>
      </w:r>
    </w:p>
    <w:p>
      <w:pPr>
        <w:spacing w:line="360" w:lineRule="auto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.投资能力及过往业绩（包括投资领域及行业排名）</w:t>
      </w:r>
    </w:p>
    <w:p>
      <w:pPr>
        <w:spacing w:line="360" w:lineRule="auto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.擅长行业策略</w:t>
      </w:r>
    </w:p>
    <w:p>
      <w:pPr>
        <w:spacing w:line="360" w:lineRule="auto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.募资能力</w:t>
      </w:r>
    </w:p>
    <w:p>
      <w:pPr>
        <w:spacing w:line="360" w:lineRule="auto"/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三、基金出资方案，包括但不限于以下内容：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基金管理人带资比例，带资性质（自有或募集），出资人简介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省文投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基金投资策略及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本基金管理</w:t>
      </w:r>
      <w:r>
        <w:rPr>
          <w:rFonts w:hint="eastAsia" w:ascii="黑体" w:hAnsi="黑体" w:eastAsia="黑体" w:cs="黑体"/>
          <w:sz w:val="32"/>
          <w:szCs w:val="32"/>
        </w:rPr>
        <w:t>机构优势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五、后续工作时间表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ODQ1Zjk3MGVkY2MwZTkwNWQ4NTVjYTQ1M2ZhNmQifQ=="/>
  </w:docVars>
  <w:rsids>
    <w:rsidRoot w:val="00000000"/>
    <w:rsid w:val="13F6294C"/>
    <w:rsid w:val="36E942FD"/>
    <w:rsid w:val="3E9C45B3"/>
    <w:rsid w:val="411F1917"/>
    <w:rsid w:val="501112F3"/>
    <w:rsid w:val="57E14F12"/>
    <w:rsid w:val="5D62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294</Characters>
  <Lines>0</Lines>
  <Paragraphs>0</Paragraphs>
  <TotalTime>4</TotalTime>
  <ScaleCrop>false</ScaleCrop>
  <LinksUpToDate>false</LinksUpToDate>
  <CharactersWithSpaces>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2023-02-14T00:41:00Z</dcterms:created>
  <dc:creator>lenovo</dc:creator>
  <cp:lastModifiedBy>阿布布布</cp:lastModifiedBy>
  <cp:lastPrinted>2023-08-17T08:21:41Z</cp:lastPrinted>
  <dcterms:modified xsi:type="dcterms:W3CDTF">2023-08-17T08:27:26Z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870DA09F327D4B81A4ABC7675B269361</vt:lpwstr>
  </property>
</Properties>
</file>